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A4B" w:rsidRDefault="00734C50">
      <w:pPr>
        <w:pStyle w:val="a3"/>
        <w:spacing w:before="0" w:beforeAutospacing="0" w:after="0" w:afterAutospacing="0" w:line="600" w:lineRule="atLeast"/>
        <w:ind w:firstLine="645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商学院关于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遴选自助咖啡机、自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助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售货机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服务商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公告</w:t>
      </w:r>
    </w:p>
    <w:p w:rsidR="00153A4B" w:rsidRDefault="00153A4B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为进一步方便服务师生，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规范工作流程，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根据师生需求，南开大学商学院开展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自助咖啡机、自助售货机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服务商遴选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，具体如下。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一、遴选内容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遴选内容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现磨自助咖啡机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、自助售货机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二、申报条件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中华人民共和国境内注册</w:t>
      </w:r>
      <w:r>
        <w:rPr>
          <w:rFonts w:ascii="仿宋" w:eastAsia="仿宋" w:hAnsi="仿宋"/>
          <w:color w:val="000000" w:themeColor="text1"/>
          <w:sz w:val="32"/>
          <w:szCs w:val="32"/>
        </w:rPr>
        <w:t>具备独立法人资格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的企事业单位，营业执照的经营范围应包含所提供的服务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、具有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食品经营许可证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>
        <w:rPr>
          <w:rFonts w:ascii="仿宋" w:eastAsia="仿宋" w:hAnsi="仿宋"/>
          <w:color w:val="000000" w:themeColor="text1"/>
          <w:sz w:val="32"/>
          <w:szCs w:val="32"/>
        </w:rPr>
        <w:t>良好的商业信誉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和服务记录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、具有履行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商业服务</w:t>
      </w:r>
      <w:r>
        <w:rPr>
          <w:rFonts w:ascii="仿宋" w:eastAsia="仿宋" w:hAnsi="仿宋"/>
          <w:color w:val="000000" w:themeColor="text1"/>
          <w:sz w:val="32"/>
          <w:szCs w:val="32"/>
        </w:rPr>
        <w:t>所必需的设备和专业技术能力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具</w:t>
      </w:r>
      <w:r>
        <w:rPr>
          <w:rFonts w:ascii="仿宋" w:eastAsia="仿宋" w:hAnsi="仿宋"/>
          <w:color w:val="000000" w:themeColor="text1"/>
          <w:sz w:val="32"/>
          <w:szCs w:val="32"/>
        </w:rPr>
        <w:t>有依法缴纳税收和社会保障资金的良好记录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line="600" w:lineRule="atLeas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不允许分包、转包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spacing w:line="360" w:lineRule="auto"/>
        <w:ind w:firstLineChars="200" w:firstLine="600"/>
        <w:jc w:val="left"/>
        <w:rPr>
          <w:rFonts w:ascii="黑体" w:eastAsia="黑体" w:hAnsi="黑体" w:cs="仿宋"/>
          <w:kern w:val="0"/>
          <w:sz w:val="30"/>
          <w:szCs w:val="30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三、</w:t>
      </w:r>
      <w:r>
        <w:rPr>
          <w:rFonts w:ascii="黑体" w:eastAsia="黑体" w:hAnsi="黑体" w:cs="仿宋" w:hint="eastAsia"/>
          <w:kern w:val="0"/>
          <w:sz w:val="30"/>
          <w:szCs w:val="30"/>
        </w:rPr>
        <w:t>具体服务内容：</w:t>
      </w:r>
    </w:p>
    <w:tbl>
      <w:tblPr>
        <w:tblStyle w:val="a4"/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70"/>
        <w:gridCol w:w="5917"/>
        <w:gridCol w:w="955"/>
      </w:tblGrid>
      <w:tr w:rsidR="00153A4B">
        <w:trPr>
          <w:jc w:val="center"/>
        </w:trPr>
        <w:tc>
          <w:tcPr>
            <w:tcW w:w="846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170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5917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参数要求</w:t>
            </w:r>
          </w:p>
        </w:tc>
        <w:tc>
          <w:tcPr>
            <w:tcW w:w="955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备注</w:t>
            </w:r>
          </w:p>
        </w:tc>
      </w:tr>
      <w:tr w:rsidR="00153A4B">
        <w:trPr>
          <w:trHeight w:val="1833"/>
          <w:jc w:val="center"/>
        </w:trPr>
        <w:tc>
          <w:tcPr>
            <w:tcW w:w="846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1</w:t>
            </w:r>
          </w:p>
        </w:tc>
        <w:tc>
          <w:tcPr>
            <w:tcW w:w="1170" w:type="dxa"/>
            <w:vAlign w:val="center"/>
          </w:tcPr>
          <w:p w:rsidR="00153A4B" w:rsidRDefault="00734C50">
            <w:p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现磨自助咖啡机</w:t>
            </w:r>
          </w:p>
        </w:tc>
        <w:tc>
          <w:tcPr>
            <w:tcW w:w="5917" w:type="dxa"/>
          </w:tcPr>
          <w:p w:rsidR="00153A4B" w:rsidRDefault="00734C5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全自动现磨咖啡机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台。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咖啡豆为优质咖啡豆，咖啡饮品须为咖啡豆现磨咖啡，具有制冷、制热功能。不得采用速溶咖啡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。</w:t>
            </w:r>
          </w:p>
          <w:p w:rsidR="00153A4B" w:rsidRDefault="00734C5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经营种类：售卖咖啡（可提供美式、拿铁、卡布奇诺等多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口味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以及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牛奶、热巧克力等不含酒精成分饮品。</w:t>
            </w:r>
          </w:p>
          <w:p w:rsidR="00153A4B" w:rsidRDefault="00734C5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咖啡机所用饮品纸杯须采用质地坚固的防烫纸杯并配有杯盖。</w:t>
            </w:r>
          </w:p>
          <w:p w:rsidR="00153A4B" w:rsidRDefault="00734C5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咖啡机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须支持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支付宝或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微信支付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线上支付方式。</w:t>
            </w:r>
          </w:p>
          <w:p w:rsidR="00153A4B" w:rsidRDefault="00734C50" w:rsidP="00734C50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所售商品价格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应低于周边同类商品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市场零售价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折扣率不少于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%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。</w:t>
            </w:r>
          </w:p>
          <w:p w:rsidR="00153A4B" w:rsidRDefault="00734C50" w:rsidP="00734C50">
            <w:pPr>
              <w:numPr>
                <w:ilvl w:val="255"/>
                <w:numId w:val="0"/>
              </w:num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6.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设备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在合同期内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由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成交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负责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保修。</w:t>
            </w:r>
          </w:p>
          <w:p w:rsidR="00153A4B" w:rsidRDefault="00734C50" w:rsidP="00734C50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7.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服务期间，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设备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运行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所产生电费、水费（如涉及），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由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成交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自行负担，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具体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按照学校有关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商业电费、商业水费（如涉及）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标准缴纳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955" w:type="dxa"/>
            <w:vAlign w:val="center"/>
          </w:tcPr>
          <w:p w:rsidR="00153A4B" w:rsidRDefault="00153A4B">
            <w:pPr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153A4B">
        <w:trPr>
          <w:trHeight w:val="1833"/>
          <w:jc w:val="center"/>
        </w:trPr>
        <w:tc>
          <w:tcPr>
            <w:tcW w:w="846" w:type="dxa"/>
            <w:vAlign w:val="center"/>
          </w:tcPr>
          <w:p w:rsidR="00153A4B" w:rsidRDefault="00734C50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170" w:type="dxa"/>
            <w:vAlign w:val="center"/>
          </w:tcPr>
          <w:p w:rsidR="00153A4B" w:rsidRDefault="00734C50">
            <w:pPr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自助售货机</w:t>
            </w:r>
          </w:p>
        </w:tc>
        <w:tc>
          <w:tcPr>
            <w:tcW w:w="5917" w:type="dxa"/>
          </w:tcPr>
          <w:p w:rsidR="00153A4B" w:rsidRDefault="00734C50">
            <w:p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1.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自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助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售货机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台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。</w:t>
            </w:r>
          </w:p>
          <w:p w:rsidR="00153A4B" w:rsidRDefault="00734C50">
            <w:p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2.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所售商品价格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应低于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周边同类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商品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市场零售价。</w:t>
            </w:r>
          </w:p>
          <w:p w:rsidR="00153A4B" w:rsidRDefault="00734C50">
            <w:p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3.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经营范围：可提供饮料、饮用水、方便面、面包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零食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等商品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。</w:t>
            </w:r>
          </w:p>
          <w:p w:rsidR="00153A4B" w:rsidRDefault="00734C50">
            <w:p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4.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服务期间，成交供应商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不得经营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或售卖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国家</w:t>
            </w: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法律法规及采购人明令禁止的商品（如烟、酒等）</w:t>
            </w:r>
          </w:p>
          <w:p w:rsidR="00153A4B" w:rsidRDefault="00734C50">
            <w:pPr>
              <w:tabs>
                <w:tab w:val="left" w:pos="312"/>
              </w:tabs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服务期间，设备运行所产生电费、水费（如涉及），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由成交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供应商自行负担，具体按照学校有关商业电费、商业水费（如涉及）标准缴纳。</w:t>
            </w:r>
          </w:p>
        </w:tc>
        <w:tc>
          <w:tcPr>
            <w:tcW w:w="955" w:type="dxa"/>
            <w:vAlign w:val="center"/>
          </w:tcPr>
          <w:p w:rsidR="00153A4B" w:rsidRDefault="00153A4B">
            <w:pPr>
              <w:jc w:val="lef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</w:tbl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服务要求：自助咖啡机及其销售的现磨咖啡饮品、自助售货机销售的食品和饮品，必须符合相关国家标准和行业标准，且均须符合国家、省、市食品</w:t>
      </w:r>
      <w:r>
        <w:rPr>
          <w:rFonts w:ascii="仿宋" w:eastAsia="仿宋" w:hAnsi="仿宋" w:cs="仿宋" w:hint="eastAsia"/>
          <w:sz w:val="30"/>
          <w:szCs w:val="30"/>
        </w:rPr>
        <w:t>安全、</w:t>
      </w:r>
      <w:r>
        <w:rPr>
          <w:rFonts w:ascii="仿宋" w:eastAsia="仿宋" w:hAnsi="仿宋" w:cs="仿宋" w:hint="eastAsia"/>
          <w:sz w:val="30"/>
          <w:szCs w:val="30"/>
        </w:rPr>
        <w:t>卫生等法律法规的相关要求并确保在保质期内，杜绝销售过期或临期饮品。</w:t>
      </w:r>
    </w:p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售后服务要求：提供的咖啡及其他饮品、食品必须符合国家食品安全相关规定的要求，</w:t>
      </w:r>
      <w:r>
        <w:rPr>
          <w:rFonts w:ascii="仿宋" w:eastAsia="仿宋" w:hAnsi="仿宋" w:cs="仿宋" w:hint="eastAsia"/>
          <w:sz w:val="30"/>
          <w:szCs w:val="30"/>
        </w:rPr>
        <w:t>食品</w:t>
      </w:r>
      <w:r>
        <w:rPr>
          <w:rFonts w:ascii="仿宋" w:eastAsia="仿宋" w:hAnsi="仿宋" w:cs="仿宋" w:hint="eastAsia"/>
          <w:sz w:val="30"/>
          <w:szCs w:val="30"/>
        </w:rPr>
        <w:t>及原材料</w:t>
      </w:r>
      <w:r>
        <w:rPr>
          <w:rFonts w:ascii="仿宋" w:eastAsia="仿宋" w:hAnsi="仿宋" w:cs="仿宋" w:hint="eastAsia"/>
          <w:sz w:val="30"/>
          <w:szCs w:val="30"/>
        </w:rPr>
        <w:t>来源可追溯。</w:t>
      </w:r>
      <w:r>
        <w:rPr>
          <w:rFonts w:ascii="仿宋" w:eastAsia="仿宋" w:hAnsi="仿宋" w:cs="仿宋" w:hint="eastAsia"/>
          <w:sz w:val="30"/>
          <w:szCs w:val="30"/>
        </w:rPr>
        <w:t>如</w:t>
      </w:r>
      <w:r>
        <w:rPr>
          <w:rFonts w:ascii="仿宋" w:eastAsia="仿宋" w:hAnsi="仿宋" w:cs="仿宋" w:hint="eastAsia"/>
          <w:sz w:val="30"/>
          <w:szCs w:val="30"/>
        </w:rPr>
        <w:t>因提供的食品、饮品造成食品安全事故的，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由成交供应商</w:t>
      </w:r>
      <w:r>
        <w:rPr>
          <w:rFonts w:ascii="仿宋" w:eastAsia="仿宋" w:hAnsi="仿宋" w:cs="仿宋" w:hint="eastAsia"/>
          <w:sz w:val="30"/>
          <w:szCs w:val="30"/>
        </w:rPr>
        <w:t>独立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承担</w:t>
      </w:r>
      <w:r>
        <w:rPr>
          <w:rFonts w:ascii="仿宋" w:eastAsia="仿宋" w:hAnsi="仿宋" w:cs="仿宋" w:hint="eastAsia"/>
          <w:sz w:val="30"/>
          <w:szCs w:val="30"/>
        </w:rPr>
        <w:t>全部</w:t>
      </w:r>
      <w:r>
        <w:rPr>
          <w:rFonts w:ascii="仿宋" w:eastAsia="仿宋" w:hAnsi="仿宋" w:cs="仿宋" w:hint="eastAsia"/>
          <w:sz w:val="30"/>
          <w:szCs w:val="30"/>
        </w:rPr>
        <w:t>责任。</w:t>
      </w:r>
    </w:p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优惠措施：产品价格均不得高于同类产品市场价格，且</w:t>
      </w:r>
      <w:r>
        <w:rPr>
          <w:rFonts w:ascii="仿宋" w:eastAsia="仿宋" w:hAnsi="仿宋" w:cs="仿宋" w:hint="eastAsia"/>
          <w:sz w:val="30"/>
          <w:szCs w:val="30"/>
        </w:rPr>
        <w:t>成交供应商</w:t>
      </w:r>
      <w:r>
        <w:rPr>
          <w:rFonts w:ascii="仿宋" w:eastAsia="仿宋" w:hAnsi="仿宋" w:cs="仿宋" w:hint="eastAsia"/>
          <w:sz w:val="30"/>
          <w:szCs w:val="30"/>
        </w:rPr>
        <w:t>不得随意调高产品价格。由于市场波动，确需调整价格的，则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成交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供应商</w:t>
      </w:r>
      <w:r>
        <w:rPr>
          <w:rFonts w:ascii="仿宋" w:eastAsia="仿宋" w:hAnsi="仿宋" w:cs="仿宋" w:hint="eastAsia"/>
          <w:sz w:val="30"/>
          <w:szCs w:val="30"/>
        </w:rPr>
        <w:t>提出书面申请，学院</w:t>
      </w:r>
      <w:r>
        <w:rPr>
          <w:rFonts w:ascii="仿宋" w:eastAsia="仿宋" w:hAnsi="仿宋" w:cs="仿宋" w:hint="eastAsia"/>
          <w:sz w:val="30"/>
          <w:szCs w:val="30"/>
        </w:rPr>
        <w:t>审核</w:t>
      </w:r>
      <w:r>
        <w:rPr>
          <w:rFonts w:ascii="仿宋" w:eastAsia="仿宋" w:hAnsi="仿宋" w:cs="仿宋" w:hint="eastAsia"/>
          <w:sz w:val="30"/>
          <w:szCs w:val="30"/>
        </w:rPr>
        <w:t>同意后，方可进行价格调整。</w:t>
      </w:r>
    </w:p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服务人员：成交供应商需指定不少于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名专业服务人员，对设备日常维护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保证设备正常运行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/>
          <w:sz w:val="30"/>
          <w:szCs w:val="30"/>
        </w:rPr>
        <w:t>设备在摆放区域受到</w:t>
      </w:r>
      <w:r>
        <w:rPr>
          <w:rFonts w:ascii="仿宋" w:eastAsia="仿宋" w:hAnsi="仿宋" w:cs="仿宋" w:hint="eastAsia"/>
          <w:sz w:val="30"/>
          <w:szCs w:val="30"/>
        </w:rPr>
        <w:t>损坏、</w:t>
      </w:r>
      <w:r>
        <w:rPr>
          <w:rFonts w:ascii="仿宋" w:eastAsia="仿宋" w:hAnsi="仿宋" w:cs="仿宋"/>
          <w:sz w:val="30"/>
          <w:szCs w:val="30"/>
        </w:rPr>
        <w:t>破坏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学院</w:t>
      </w:r>
      <w:r>
        <w:rPr>
          <w:rFonts w:ascii="仿宋" w:eastAsia="仿宋" w:hAnsi="仿宋" w:cs="仿宋"/>
          <w:sz w:val="30"/>
          <w:szCs w:val="30"/>
        </w:rPr>
        <w:t>不承担责任。</w:t>
      </w:r>
    </w:p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5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应急响应：设备出现故障时，接到</w:t>
      </w:r>
      <w:r>
        <w:rPr>
          <w:rFonts w:ascii="仿宋" w:eastAsia="仿宋" w:hAnsi="仿宋" w:cs="仿宋" w:hint="eastAsia"/>
          <w:sz w:val="30"/>
          <w:szCs w:val="30"/>
        </w:rPr>
        <w:t>学院通知（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微信或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电话通知）</w:t>
      </w:r>
      <w:r>
        <w:rPr>
          <w:rFonts w:ascii="仿宋" w:eastAsia="仿宋" w:hAnsi="仿宋" w:cs="仿宋" w:hint="eastAsia"/>
          <w:sz w:val="30"/>
          <w:szCs w:val="30"/>
        </w:rPr>
        <w:t>在</w:t>
      </w:r>
      <w:r>
        <w:rPr>
          <w:rFonts w:ascii="仿宋" w:eastAsia="仿宋" w:hAnsi="仿宋" w:cs="仿宋"/>
          <w:sz w:val="30"/>
          <w:szCs w:val="30"/>
        </w:rPr>
        <w:t>30</w:t>
      </w:r>
      <w:r>
        <w:rPr>
          <w:rFonts w:ascii="仿宋" w:eastAsia="仿宋" w:hAnsi="仿宋" w:cs="仿宋"/>
          <w:sz w:val="30"/>
          <w:szCs w:val="30"/>
        </w:rPr>
        <w:t>分钟内到达现场进行处理，直至恢复正常使用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/>
          <w:sz w:val="30"/>
          <w:szCs w:val="30"/>
        </w:rPr>
        <w:t>维修完成时间不超过</w:t>
      </w:r>
      <w:r>
        <w:rPr>
          <w:rFonts w:ascii="仿宋" w:eastAsia="仿宋" w:hAnsi="仿宋" w:cs="仿宋"/>
          <w:sz w:val="30"/>
          <w:szCs w:val="30"/>
        </w:rPr>
        <w:t>24</w:t>
      </w:r>
      <w:r>
        <w:rPr>
          <w:rFonts w:ascii="仿宋" w:eastAsia="仿宋" w:hAnsi="仿宋" w:cs="仿宋"/>
          <w:sz w:val="30"/>
          <w:szCs w:val="30"/>
        </w:rPr>
        <w:t>小时（保证故障不过夜）。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小时内无法排除故障</w:t>
      </w:r>
      <w:r>
        <w:rPr>
          <w:rFonts w:ascii="仿宋" w:eastAsia="仿宋" w:hAnsi="仿宋" w:cs="仿宋"/>
          <w:sz w:val="30"/>
          <w:szCs w:val="30"/>
        </w:rPr>
        <w:t>的，</w:t>
      </w:r>
      <w:r>
        <w:rPr>
          <w:rFonts w:ascii="仿宋" w:eastAsia="仿宋" w:hAnsi="仿宋" w:cs="仿宋"/>
          <w:sz w:val="30"/>
          <w:szCs w:val="30"/>
        </w:rPr>
        <w:t>无法维修或无法继续使用的设备</w:t>
      </w:r>
      <w:r>
        <w:rPr>
          <w:rFonts w:ascii="仿宋" w:eastAsia="仿宋" w:hAnsi="仿宋" w:cs="仿宋" w:hint="eastAsia"/>
          <w:sz w:val="30"/>
          <w:szCs w:val="30"/>
        </w:rPr>
        <w:t>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由成交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供应商</w:t>
      </w:r>
      <w:r>
        <w:rPr>
          <w:rFonts w:ascii="仿宋" w:eastAsia="仿宋" w:hAnsi="仿宋" w:cs="仿宋"/>
          <w:sz w:val="30"/>
          <w:szCs w:val="30"/>
        </w:rPr>
        <w:t>在</w:t>
      </w:r>
      <w:r>
        <w:rPr>
          <w:rFonts w:ascii="仿宋" w:eastAsia="仿宋" w:hAnsi="仿宋" w:cs="仿宋"/>
          <w:sz w:val="30"/>
          <w:szCs w:val="30"/>
        </w:rPr>
        <w:t>48</w:t>
      </w:r>
      <w:r>
        <w:rPr>
          <w:rFonts w:ascii="仿宋" w:eastAsia="仿宋" w:hAnsi="仿宋" w:cs="仿宋"/>
          <w:sz w:val="30"/>
          <w:szCs w:val="30"/>
        </w:rPr>
        <w:t>小时内免费调换。</w:t>
      </w:r>
    </w:p>
    <w:p w:rsidR="00153A4B" w:rsidRDefault="00734C5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成交供应商在经营期间</w:t>
      </w:r>
      <w:r>
        <w:rPr>
          <w:rFonts w:ascii="仿宋" w:eastAsia="仿宋" w:hAnsi="仿宋" w:cs="仿宋" w:hint="eastAsia"/>
          <w:sz w:val="30"/>
          <w:szCs w:val="30"/>
        </w:rPr>
        <w:t>须</w:t>
      </w:r>
      <w:r>
        <w:rPr>
          <w:rFonts w:ascii="仿宋" w:eastAsia="仿宋" w:hAnsi="仿宋" w:cs="仿宋" w:hint="eastAsia"/>
          <w:sz w:val="30"/>
          <w:szCs w:val="30"/>
        </w:rPr>
        <w:t>指定专人负责自助设备的安全巡查及安全管理，出现安全隐患</w:t>
      </w:r>
      <w:r>
        <w:rPr>
          <w:rFonts w:ascii="仿宋" w:eastAsia="仿宋" w:hAnsi="仿宋" w:cs="仿宋" w:hint="eastAsia"/>
          <w:sz w:val="30"/>
          <w:szCs w:val="30"/>
        </w:rPr>
        <w:t>须</w:t>
      </w:r>
      <w:r>
        <w:rPr>
          <w:rFonts w:ascii="仿宋" w:eastAsia="仿宋" w:hAnsi="仿宋" w:cs="仿宋" w:hint="eastAsia"/>
          <w:sz w:val="30"/>
          <w:szCs w:val="30"/>
        </w:rPr>
        <w:t>及时进行整改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若</w:t>
      </w:r>
      <w:r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自助设备</w:t>
      </w:r>
      <w:r>
        <w:rPr>
          <w:rFonts w:ascii="仿宋" w:eastAsia="仿宋" w:hAnsi="仿宋" w:cs="仿宋" w:hint="eastAsia"/>
          <w:sz w:val="30"/>
          <w:szCs w:val="30"/>
        </w:rPr>
        <w:t>引发</w:t>
      </w:r>
      <w:r>
        <w:rPr>
          <w:rFonts w:ascii="仿宋" w:eastAsia="仿宋" w:hAnsi="仿宋" w:cs="仿宋" w:hint="eastAsia"/>
          <w:sz w:val="30"/>
          <w:szCs w:val="30"/>
        </w:rPr>
        <w:t>安全事故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如：火灾、食品安全事件等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，由此产生的人身伤害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财产损失</w:t>
      </w:r>
      <w:r>
        <w:rPr>
          <w:rFonts w:ascii="仿宋" w:eastAsia="仿宋" w:hAnsi="仿宋" w:cs="仿宋" w:hint="eastAsia"/>
          <w:sz w:val="30"/>
          <w:szCs w:val="30"/>
        </w:rPr>
        <w:t>均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由</w:t>
      </w:r>
      <w:r>
        <w:rPr>
          <w:rFonts w:ascii="仿宋" w:eastAsia="仿宋" w:hAnsi="仿宋" w:cs="仿宋" w:hint="eastAsia"/>
          <w:sz w:val="30"/>
          <w:szCs w:val="30"/>
        </w:rPr>
        <w:t>成交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供应商承担相关法律责任，学院不承担任何责任。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、提交材料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遴选申报表。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营业执照副本复印件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扫描件。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法人身份证复印件。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相关资质证书，包括</w:t>
      </w:r>
      <w:r>
        <w:rPr>
          <w:rFonts w:ascii="仿宋" w:eastAsia="仿宋" w:hAnsi="仿宋"/>
          <w:color w:val="000000" w:themeColor="text1"/>
          <w:sz w:val="32"/>
          <w:szCs w:val="32"/>
        </w:rPr>
        <w:t>《食品经营许可证》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5. 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服务项目清单及报价表。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6. 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项目经历支撑材料、项目效果展示材料。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7. 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申报单位提供的其他相关材料。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四、遴选流程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1.</w:t>
      </w:r>
      <w:r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提交材料。有意向参加遴选的服务商将申报材料电子版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/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盖章扫描件等资料发送至电子邮箱：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haoyongwei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@nankai.edu.cn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。材料提交截止时间为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星期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）中午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:0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组建评审小组。按照《南开大学商学院招标采购管理办法（试行）》有关规定，组建评审小组。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材料审核。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报名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应不少于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家，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评审小组根据申报条件和服务内容审核申报材料。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材料审核通过的服务商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可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进入到面谈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评审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环节。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. 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现场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评审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通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过材料审核的服务商按通知要求参加现场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面谈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，未按时参加视为放弃本次遴选。现场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面谈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须由单位法人或授权委托人（需提供授权委托书）参加。评审小组根据申报服务商资质、服务内容匹配度、过往项目经历及效果、服务项目清单及报价等情况进行综合评分，并履行学院审核工作程序，确定拟入围供应商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结果公示。公示期为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个工作日，如对公示结果产生异议，可向评审小组提出，由评审小组核实并反馈。公示期满，未收到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公示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意见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或经核实处理后无新异见，本次遴选结果有效。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  <w:t> 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结果确认。向成交供应商反馈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遴选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结果，成交供应商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需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提供加盖公章的服务项目清单及报价表，签订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服务合同和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安全承诺书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合同期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两年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其中：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试用期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153A4B" w:rsidRDefault="00153A4B">
      <w:pPr>
        <w:pStyle w:val="a3"/>
        <w:spacing w:before="0" w:beforeAutospacing="0" w:after="0" w:afterAutospacing="0" w:line="600" w:lineRule="atLeast"/>
        <w:ind w:firstLine="645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 w:rsidRPr="00734C5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自助咖啡机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服务商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遴选申报表</w:t>
      </w:r>
    </w:p>
    <w:p w:rsidR="00153A4B" w:rsidRDefault="00734C50" w:rsidP="00734C50">
      <w:pPr>
        <w:pStyle w:val="a3"/>
        <w:spacing w:before="0" w:beforeAutospacing="0" w:after="0" w:afterAutospacing="0" w:line="600" w:lineRule="atLeast"/>
        <w:ind w:firstLineChars="507" w:firstLine="1622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734C5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自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助</w:t>
      </w:r>
      <w:r w:rsidRPr="00734C5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售货机</w:t>
      </w:r>
      <w:r w:rsidRPr="00734C5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服务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商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遴选申报表</w:t>
      </w:r>
    </w:p>
    <w:p w:rsidR="00153A4B" w:rsidRDefault="00153A4B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153A4B" w:rsidRDefault="00153A4B">
      <w:pPr>
        <w:pStyle w:val="a3"/>
        <w:spacing w:before="0" w:beforeAutospacing="0" w:after="0" w:afterAutospacing="0" w:line="600" w:lineRule="atLeast"/>
        <w:ind w:firstLine="645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jc w:val="righ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南开大学商学院</w:t>
      </w:r>
    </w:p>
    <w:p w:rsidR="00153A4B" w:rsidRDefault="00734C50">
      <w:pPr>
        <w:pStyle w:val="a3"/>
        <w:spacing w:before="0" w:beforeAutospacing="0" w:after="0" w:afterAutospacing="0" w:line="600" w:lineRule="atLeast"/>
        <w:ind w:firstLine="645"/>
        <w:jc w:val="righ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153A4B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153A4B" w:rsidRDefault="00734C5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4C50">
        <w:rPr>
          <w:rFonts w:ascii="等线" w:eastAsia="等线" w:hAnsi="等线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自助咖啡机</w:t>
      </w: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服务商遴选申报表</w:t>
      </w:r>
    </w:p>
    <w:p w:rsidR="00153A4B" w:rsidRDefault="00153A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3A4B" w:rsidRDefault="00153A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817"/>
        <w:gridCol w:w="1839"/>
        <w:gridCol w:w="1831"/>
      </w:tblGrid>
      <w:tr w:rsidR="00153A4B">
        <w:trPr>
          <w:trHeight w:val="540"/>
          <w:jc w:val="center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单位名称（盖章）</w:t>
            </w:r>
          </w:p>
        </w:tc>
        <w:tc>
          <w:tcPr>
            <w:tcW w:w="5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4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统一社会信用代码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495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法人代表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1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注册地址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25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报名人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4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业务范围及优势专长</w:t>
            </w:r>
          </w:p>
        </w:tc>
      </w:tr>
      <w:tr w:rsidR="00153A4B">
        <w:trPr>
          <w:trHeight w:val="2550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资质及证书情况</w:t>
            </w:r>
          </w:p>
        </w:tc>
      </w:tr>
      <w:tr w:rsidR="00153A4B">
        <w:trPr>
          <w:trHeight w:val="1119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近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9"/>
                <w:szCs w:val="29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年代表性项目及工作业绩</w:t>
            </w: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153A4B">
        <w:trPr>
          <w:trHeight w:val="80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153A4B">
        <w:trPr>
          <w:trHeight w:val="1516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</w:tbl>
    <w:p w:rsidR="00153A4B" w:rsidRDefault="00153A4B">
      <w:pPr>
        <w:spacing w:line="120" w:lineRule="exact"/>
        <w:rPr>
          <w:color w:val="000000" w:themeColor="text1"/>
        </w:rPr>
      </w:pPr>
    </w:p>
    <w:p w:rsidR="00153A4B" w:rsidRDefault="00153A4B">
      <w:pPr>
        <w:spacing w:line="120" w:lineRule="exact"/>
        <w:rPr>
          <w:color w:val="000000" w:themeColor="text1"/>
        </w:rPr>
      </w:pPr>
    </w:p>
    <w:p w:rsidR="00153A4B" w:rsidRDefault="00153A4B">
      <w:pPr>
        <w:spacing w:line="120" w:lineRule="exact"/>
        <w:rPr>
          <w:color w:val="000000" w:themeColor="text1"/>
        </w:rPr>
      </w:pPr>
    </w:p>
    <w:p w:rsidR="00153A4B" w:rsidRDefault="00734C5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4C50">
        <w:rPr>
          <w:rFonts w:ascii="等线" w:eastAsia="等线" w:hAnsi="等线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自</w:t>
      </w:r>
      <w:r>
        <w:rPr>
          <w:rFonts w:ascii="等线" w:eastAsia="等线" w:hAnsi="等线" w:cs="宋体" w:hint="eastAsia"/>
          <w:b/>
          <w:bCs/>
          <w:color w:val="000000" w:themeColor="text1"/>
          <w:kern w:val="0"/>
          <w:sz w:val="32"/>
          <w:szCs w:val="32"/>
        </w:rPr>
        <w:t>助</w:t>
      </w:r>
      <w:r w:rsidRPr="00734C50">
        <w:rPr>
          <w:rFonts w:ascii="等线" w:eastAsia="等线" w:hAnsi="等线" w:cs="宋体" w:hint="eastAsia"/>
          <w:b/>
          <w:bCs/>
          <w:color w:val="000000" w:themeColor="text1"/>
          <w:kern w:val="0"/>
          <w:sz w:val="32"/>
          <w:szCs w:val="32"/>
        </w:rPr>
        <w:t>售货机</w:t>
      </w: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服务商遴选申报表</w:t>
      </w:r>
    </w:p>
    <w:p w:rsidR="00153A4B" w:rsidRDefault="00153A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3A4B" w:rsidRDefault="00153A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817"/>
        <w:gridCol w:w="1839"/>
        <w:gridCol w:w="1831"/>
      </w:tblGrid>
      <w:tr w:rsidR="00153A4B">
        <w:trPr>
          <w:trHeight w:val="540"/>
          <w:jc w:val="center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单位名称（盖章）</w:t>
            </w:r>
          </w:p>
        </w:tc>
        <w:tc>
          <w:tcPr>
            <w:tcW w:w="5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4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统一社会信用代码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495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法人代表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1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注册地址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25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报名人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trHeight w:val="540"/>
          <w:jc w:val="center"/>
        </w:trPr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业务范围及优势专长</w:t>
            </w:r>
          </w:p>
        </w:tc>
      </w:tr>
      <w:tr w:rsidR="00153A4B">
        <w:trPr>
          <w:trHeight w:val="2550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资质及证书情况</w:t>
            </w:r>
          </w:p>
        </w:tc>
      </w:tr>
      <w:tr w:rsidR="00153A4B">
        <w:trPr>
          <w:trHeight w:val="1119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734C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近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9"/>
                <w:szCs w:val="29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年代表性项目及工作业绩</w:t>
            </w:r>
          </w:p>
        </w:tc>
      </w:tr>
      <w:tr w:rsidR="00153A4B">
        <w:trPr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153A4B">
        <w:trPr>
          <w:trHeight w:val="80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153A4B">
        <w:trPr>
          <w:trHeight w:val="1516"/>
          <w:jc w:val="center"/>
        </w:trPr>
        <w:tc>
          <w:tcPr>
            <w:tcW w:w="82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53A4B" w:rsidRDefault="00153A4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</w:tbl>
    <w:p w:rsidR="00153A4B" w:rsidRDefault="00153A4B">
      <w:pPr>
        <w:spacing w:line="120" w:lineRule="exact"/>
        <w:rPr>
          <w:color w:val="000000" w:themeColor="text1"/>
        </w:rPr>
      </w:pPr>
    </w:p>
    <w:p w:rsidR="00153A4B" w:rsidRDefault="00153A4B">
      <w:pPr>
        <w:spacing w:line="120" w:lineRule="exact"/>
        <w:rPr>
          <w:color w:val="000000" w:themeColor="text1"/>
        </w:rPr>
      </w:pPr>
    </w:p>
    <w:sectPr w:rsidR="0015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3B28C"/>
    <w:multiLevelType w:val="singleLevel"/>
    <w:tmpl w:val="5493B2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F2"/>
    <w:rsid w:val="00153A4B"/>
    <w:rsid w:val="005C484E"/>
    <w:rsid w:val="00704097"/>
    <w:rsid w:val="007201B9"/>
    <w:rsid w:val="00734C50"/>
    <w:rsid w:val="00797FF2"/>
    <w:rsid w:val="00814775"/>
    <w:rsid w:val="0094540A"/>
    <w:rsid w:val="01613C9F"/>
    <w:rsid w:val="045930E5"/>
    <w:rsid w:val="06F54B2C"/>
    <w:rsid w:val="09FE38CF"/>
    <w:rsid w:val="0C9D097C"/>
    <w:rsid w:val="0E8F5E87"/>
    <w:rsid w:val="0EA752BB"/>
    <w:rsid w:val="12BE7EF7"/>
    <w:rsid w:val="18F56611"/>
    <w:rsid w:val="1D3961FF"/>
    <w:rsid w:val="1D7D2C2D"/>
    <w:rsid w:val="1F584655"/>
    <w:rsid w:val="2A40728B"/>
    <w:rsid w:val="2FCE3859"/>
    <w:rsid w:val="30002408"/>
    <w:rsid w:val="30E64813"/>
    <w:rsid w:val="34AA7038"/>
    <w:rsid w:val="37DC2C6B"/>
    <w:rsid w:val="39EA1F71"/>
    <w:rsid w:val="3C61056F"/>
    <w:rsid w:val="3FE641B3"/>
    <w:rsid w:val="40736885"/>
    <w:rsid w:val="410C38B1"/>
    <w:rsid w:val="43440D58"/>
    <w:rsid w:val="4572395A"/>
    <w:rsid w:val="48726F21"/>
    <w:rsid w:val="49774FF9"/>
    <w:rsid w:val="534546C8"/>
    <w:rsid w:val="557D4C93"/>
    <w:rsid w:val="5861689A"/>
    <w:rsid w:val="5CA80AD4"/>
    <w:rsid w:val="5F044F2C"/>
    <w:rsid w:val="5F6D0CB2"/>
    <w:rsid w:val="610975F6"/>
    <w:rsid w:val="611E65F3"/>
    <w:rsid w:val="640539E9"/>
    <w:rsid w:val="66404ABF"/>
    <w:rsid w:val="7774022A"/>
    <w:rsid w:val="7F4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710F6-5523-42C7-ABCE-4BF43A7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C5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34C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Hao</cp:lastModifiedBy>
  <cp:revision>5</cp:revision>
  <dcterms:created xsi:type="dcterms:W3CDTF">2025-01-13T07:39:00Z</dcterms:created>
  <dcterms:modified xsi:type="dcterms:W3CDTF">2025-01-16T04:39:00Z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